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theme/theme1.xml" ContentType="application/vnd.openxmlformats-officedocument.theme+xml"/>
  <Default Extension="jpg" ContentType="image/jpg"/>
  <Default Extension="jpeg" ContentType="image/jpeg"/>
  <Default Extension="jp2" ContentType="image/jp2"/>
  <Default Extension="png" ContentType="image/png"/>
</Types>
</file>

<file path=_rels/.rels><?xml version="1.0" encoding="UTF-8" standalone="yes" ?>
<Relationships xmlns="http://schemas.openxmlformats.org/package/2006/relationships">
	<Relationship Id="rId1" Type="http://schemas.openxmlformats.org/officeDocument/2006/relationships/extended-properties" Target="docProps/app.xml"/>
	<Relationship Id="rId2" Type="http://schemas.openxmlformats.org/officeDocument/2006/relationships/metadata/core-properties" Target="docProps/core.xml"/>
	<Relationship Id="rId3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v="urn:schemas-microsoft-com:vml" xmlns:r="http://schemas.openxmlformats.org/officeDocument/2006/relationships" xmlns:o="urn:schemas-microsoft-com:office:office" xmlns:wp="http://schemas.openxmlformats.org/drawingml/2006/wordprocessingDrawing" xmlns:w10="urn:schemas-microsoft-com:office:word" xmlns:ve="http://schemas.openxmlformats.org/markup-compatibility/2006" xmlns:m="http://schemas.openxmlformats.org/officeDocument/2006/math" xmlns:wne="http://schemas.microsoft.com/office/word/2006/wordml" xml:space="preserve">
  <w:body>
    <w:bookmarkStart w:id="1" w:name="1"/>
    <w:bookmarkEnd w:id="1"/>
    <w:p>
      <w:pPr>
        <w:spacing w:before="0" w:after="0" w:line="176" w:lineRule="exact"/>
        <w:ind w:firstLine="0" w:left="0"/>
        <w:jc w:val="center"/>
        <w:rPr>
          <w:rFonts w:ascii="Microsoft YaHei" w:hAnsi="Microsoft YaHei" w:cs="Microsoft YaHei" w:eastAsia="Microsoft YaHei"/>
          <w:sz w:val="16"/>
          <w:szCs w:val="16"/>
          <w:color w:val="000000"/>
          <w:b/>
          <w:bCs/>
          <w:spacing w:val="56"/>
          <w:noProof/>
        </w:rPr>
      </w:pPr>
    </w:p>
    <w:p>
      <w:pPr>
        <w:spacing w:before="0" w:after="0" w:line="319" w:lineRule="exact"/>
        <w:ind w:firstLine="0" w:left="-20"/>
        <w:jc w:val="center"/>
        <w:rPr>
          <w:rFonts w:ascii="Microsoft YaHei" w:hAnsi="Microsoft YaHei" w:cs="Microsoft YaHei" w:eastAsia="Microsoft YaHei"/>
          <w:sz w:val="31"/>
          <w:szCs w:val="31"/>
          <w:color w:val="000000"/>
          <w:b/>
          <w:bCs/>
          <w:spacing w:val="56"/>
          <w:noProof/>
        </w:rPr>
      </w:pPr>
      <w:r>
        <w:rPr>
          <w:rFonts w:ascii="Microsoft YaHei" w:hAnsi="Microsoft YaHei" w:cs="Microsoft YaHei" w:eastAsia="Microsoft YaHei"/>
          <w:sz w:val="31"/>
          <w:szCs w:val="31"/>
          <w:color w:val="000000"/>
          <w:b/>
          <w:bCs/>
          <w:spacing w:val="9"/>
          <w:noProof/>
        </w:rPr>
        <w:t>收支管理制度</w:t>
      </w:r>
    </w:p>
    <w:p>
      <w:pPr>
        <w:spacing w:before="0" w:after="0" w:line="320" w:lineRule="exact"/>
        <w:ind w:firstLine="0" w:left="0"/>
        <w:jc w:val="center"/>
        <w:rPr>
          <w:rFonts w:ascii="Microsoft YaHei" w:hAnsi="Microsoft YaHei" w:cs="Microsoft YaHei" w:eastAsia="Microsoft YaHei"/>
          <w:sz w:val="31"/>
          <w:szCs w:val="31"/>
          <w:color w:val="000000"/>
          <w:b/>
          <w:bCs/>
          <w:spacing w:val="56"/>
          <w:noProof/>
        </w:rPr>
      </w:pPr>
    </w:p>
    <w:p>
      <w:pPr>
        <w:spacing w:before="0" w:after="0" w:line="330" w:lineRule="exact"/>
        <w:ind w:firstLine="0" w:left="0"/>
        <w:jc w:val="center"/>
        <w:rPr>
          <w:rFonts w:ascii="Microsoft YaHei" w:hAnsi="Microsoft YaHei" w:cs="Microsoft YaHei" w:eastAsia="Microsoft YaHei"/>
          <w:sz w:val="31"/>
          <w:szCs w:val="31"/>
          <w:color w:val="000000"/>
          <w:b/>
          <w:bCs/>
          <w:spacing w:val="56"/>
          <w:noProof/>
        </w:rPr>
      </w:pPr>
    </w:p>
    <w:p>
      <w:pPr>
        <w:tabs>
          <w:tab w:val="left" w:pos="4790"/>
        </w:tabs>
        <w:spacing w:before="0" w:after="266" w:line="281" w:lineRule="exact"/>
        <w:ind w:firstLine="0" w:left="3665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第一章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noProof/>
        </w:rPr>
        <w:t>总则</w:t>
      </w:r>
    </w:p>
    <w:p>
      <w:pPr>
        <w:tabs>
          <w:tab w:val="left" w:pos="2042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4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第一条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为了进一步规范单位的财务行为，加强收支管理和监督，</w:t>
      </w:r>
    </w:p>
    <w:p>
      <w:pPr>
        <w:spacing w:before="0" w:after="261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强化廉政风险防控机制建设，提高管理水平，根据《中华人民共和国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4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26"/>
          <w:noProof/>
        </w:rPr>
        <w:t>会计法》《行政事业单位内部控制规范（试行）》（财会〔2012〕21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9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7"/>
          <w:noProof/>
        </w:rPr>
        <w:t>号）、</w:t>
      </w:r>
    </w:p>
    <w:p>
      <w:pPr>
        <w:tabs>
          <w:tab w:val="left" w:pos="6350"/>
        </w:tabs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25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5"/>
          <w:noProof/>
        </w:rPr>
        <w:t>《政府会计准则》《会计档案管理办法》（财政部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13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国家档案局令第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3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3"/>
          <w:noProof/>
        </w:rPr>
        <w:t>79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号）等文件规定，结合单位实际，制定本制度。</w:t>
      </w:r>
    </w:p>
    <w:p>
      <w:pPr>
        <w:tabs>
          <w:tab w:val="left" w:pos="2042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第二条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本制度适用于单位的财务活动。</w:t>
      </w:r>
    </w:p>
    <w:p>
      <w:pPr>
        <w:tabs>
          <w:tab w:val="left" w:pos="2042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第三条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单位财务管理的基本原则是：执行国家有关法律、法规</w:t>
      </w:r>
    </w:p>
    <w:p>
      <w:pPr>
        <w:spacing w:before="0" w:after="264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和财务规章制度；坚持勤俭办事业的方针；正确处理事业发展需要和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资金供给的关系，社会效益和经济效益的关系。</w:t>
      </w:r>
    </w:p>
    <w:p>
      <w:pPr>
        <w:tabs>
          <w:tab w:val="left" w:pos="2042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第四条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单位财务管理的主要任务是：真实反映单位财务状况；</w:t>
      </w:r>
    </w:p>
    <w:p>
      <w:pPr>
        <w:spacing w:before="0" w:after="264" w:line="281" w:lineRule="exact"/>
        <w:ind w:firstLine="0" w:left="4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依法组织收入，努力节约支出；建立健全财务制度，加强会计核算，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提高资金使用效益；加强对单位经济活动的财务控制和监督，防范财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务风险。</w:t>
      </w:r>
    </w:p>
    <w:p>
      <w:pPr>
        <w:tabs>
          <w:tab w:val="left" w:pos="4087"/>
        </w:tabs>
        <w:spacing w:before="0" w:after="264" w:line="281" w:lineRule="exact"/>
        <w:ind w:firstLine="0" w:left="296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7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第二章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管理机构及职责</w:t>
      </w:r>
    </w:p>
    <w:p>
      <w:pPr>
        <w:tabs>
          <w:tab w:val="left" w:pos="2045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5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第五条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收支业务管理组织体系包括收支决策机构、收支归口机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构、收支执行机构和收支监督机构。</w:t>
      </w:r>
    </w:p>
    <w:p>
      <w:pPr>
        <w:tabs>
          <w:tab w:val="left" w:pos="2042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第六条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本单位的收支管理决策机构其主要职责为：</w:t>
      </w:r>
    </w:p>
    <w:p>
      <w:pPr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（一）负责重大项目的大额资金支出审批；</w:t>
      </w:r>
    </w:p>
    <w:p>
      <w:pPr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24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9"/>
          <w:noProof/>
        </w:rPr>
        <w:t>（二）制定单位内部支出事项的支出范围、支出定额及支出标准；</w:t>
      </w:r>
    </w:p>
    <w:p>
      <w:pPr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（三）听取并审议单位年度财务报告汇报及财务分析报告汇报情</w:t>
      </w:r>
    </w:p>
    <w:p>
      <w:pPr>
        <w:spacing w:before="0" w:after="261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况。</w:t>
      </w:r>
    </w:p>
    <w:p>
      <w:pPr>
        <w:tabs>
          <w:tab w:val="left" w:pos="2042"/>
        </w:tabs>
        <w:spacing w:before="0" w:after="261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第七条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本单位收支归口管理部门其主要职责为：</w:t>
      </w:r>
    </w:p>
    <w:p>
      <w:pPr>
        <w:spacing w:before="0" w:after="0" w:line="354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</w:pPr>
    </w:p>
    <w:p>
      <w:pPr>
        <w:spacing w:before="0" w:after="130" w:line="180" w:lineRule="exact"/>
        <w:ind w:firstLine="0" w:left="0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</w:pPr>
      <w:r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t>1</w:t>
      </w:r>
    </w:p>
    <w:p>
      <w:pPr>
        <w:spacing w:before="0" w:after="130" w:line="180" w:lineRule="exact"/>
        <w:ind w:firstLine="0" w:left="4464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sectPr>
          <w:type w:val="continuous"/>
          <w:pgSz w:w="11900" w:h="16840"/>
          <w:pgMar w:top="1440" w:right="1440" w:bottom="1066" w:left="1440" w:header="708" w:footer="708" w:gutter="0"/>
          <w:docGrid w:type="" w:linePitch="0"/>
        </w:sectPr>
      </w:pPr>
    </w:p>
    <w:bookmarkStart w:id="2" w:name="2"/>
    <w:bookmarkEnd w:id="2"/>
    <w:p>
      <w:pPr>
        <w:spacing w:before="40" w:after="264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（一）负责各项收入统计、核算、上缴，确保所有收入纳入单位财务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管理；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（二）负责收支统筹核算、报表编制及资金使用情况同步。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（三）负责日常会计核算、报表编制和收支情况分析。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（四）负责银行账户、印章管理。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（五）负责票据申购、领取、使用、保管、核销等管理。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（六）会计档案管理等。</w:t>
      </w:r>
    </w:p>
    <w:p>
      <w:pPr>
        <w:tabs>
          <w:tab w:val="left" w:pos="2042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5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第八条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本单位收支事项执行部门其主要职责为：按照财务规定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履行报销申请、支出事项申请。</w:t>
      </w:r>
    </w:p>
    <w:p>
      <w:pPr>
        <w:tabs>
          <w:tab w:val="left" w:pos="2042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第九条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本单位收支监督机制其主要职责为：</w:t>
      </w:r>
    </w:p>
    <w:p>
      <w:pPr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（一）建立健全收支管理监督检查机制。</w:t>
      </w:r>
    </w:p>
    <w:p>
      <w:pPr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（二）监督收支业务相关部门工作人员依法履行职责的情况。</w:t>
      </w:r>
    </w:p>
    <w:p>
      <w:pPr>
        <w:spacing w:before="0" w:after="261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（三）监督印章和票据的使用、保管。</w:t>
      </w:r>
    </w:p>
    <w:p>
      <w:pPr>
        <w:spacing w:before="0" w:after="266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（四）协助、配合外部审计机构对本单位进行的专项审计。</w:t>
      </w:r>
    </w:p>
    <w:p>
      <w:pPr>
        <w:tabs>
          <w:tab w:val="left" w:pos="4810"/>
        </w:tabs>
        <w:spacing w:before="0" w:after="264" w:line="281" w:lineRule="exact"/>
        <w:ind w:firstLine="0" w:left="368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第三章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收入管理</w:t>
      </w:r>
    </w:p>
    <w:p>
      <w:pPr>
        <w:tabs>
          <w:tab w:val="left" w:pos="2042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第十条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本制度所称收入，是指本单位依法取得的非偿还性资金，</w:t>
      </w:r>
    </w:p>
    <w:p>
      <w:pPr>
        <w:spacing w:before="0" w:after="261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包括财政补助收入和事业收入。</w:t>
      </w:r>
    </w:p>
    <w:p>
      <w:pPr>
        <w:spacing w:before="0" w:after="264" w:line="281" w:lineRule="exact"/>
        <w:ind w:firstLine="0" w:left="0" w:right="6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10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财政补助收入，是指本单位从同级财政部门取得的财政预算资金。</w:t>
      </w:r>
    </w:p>
    <w:p>
      <w:pPr>
        <w:spacing w:before="0" w:after="266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事业收入，指本单位开展专业业务活动及其辅助活动取得的收入。</w:t>
      </w:r>
    </w:p>
    <w:p>
      <w:pPr>
        <w:spacing w:before="0" w:after="261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其中：按照国家有关规定应当上缴国库或者财政专户的资金，不计入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事业收入；从财政专户核拨给本单位的资金和经核准不上缴国库或者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财政专户的资金，计入事业收入。</w:t>
      </w:r>
    </w:p>
    <w:p>
      <w:pPr>
        <w:tabs>
          <w:tab w:val="left" w:pos="2323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3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第十一条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本单位各项收入全部纳入单位预算，统一核算，统一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管理，严禁设立账外账。</w:t>
      </w:r>
    </w:p>
    <w:p>
      <w:pPr>
        <w:tabs>
          <w:tab w:val="left" w:pos="2323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3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第十二条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本单位对按照规定上缴国库或者财政专户的资金，应</w:t>
      </w:r>
    </w:p>
    <w:p>
      <w:pPr>
        <w:spacing w:before="0" w:after="0" w:line="366" w:lineRule="exact"/>
        <w:ind w:firstLine="0" w:left="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102"/>
          <w:noProof/>
        </w:rPr>
      </w:pPr>
    </w:p>
    <w:p>
      <w:pPr>
        <w:spacing w:before="0" w:after="264" w:line="281" w:lineRule="exact"/>
        <w:ind w:firstLine="0" w:left="919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103"/>
          <w:noProof/>
        </w:rPr>
        <w:sectPr>
          <w:pgSz w:w="11900" w:h="16840"/>
          <w:pgMar w:top="1440" w:right="1440" w:bottom="1066" w:left="1440" w:header="708" w:footer="708" w:gutter="0"/>
          <w:docGrid w:type="" w:linePitch="0"/>
        </w:sectPr>
      </w:pPr>
    </w:p>
    <w:p>
      <w:pPr>
        <w:spacing w:before="0" w:after="130" w:line="180" w:lineRule="exact"/>
        <w:ind w:firstLine="0" w:left="0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</w:pPr>
      <w:r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t>2</w:t>
      </w:r>
    </w:p>
    <w:p>
      <w:pPr>
        <w:spacing w:before="0" w:after="130" w:line="180" w:lineRule="exact"/>
        <w:ind w:firstLine="0" w:left="4464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sectPr>
          <w:type w:val="continuous"/>
          <w:pgSz w:w="11900" w:h="16840"/>
          <w:pgMar w:top="1440" w:right="1440" w:bottom="1066" w:left="1440" w:header="708" w:footer="708" w:gutter="0"/>
          <w:docGrid w:type="" w:linePitch="0"/>
        </w:sectPr>
      </w:pPr>
    </w:p>
    <w:bookmarkStart w:id="3" w:name="3"/>
    <w:bookmarkEnd w:id="3"/>
    <w:p>
      <w:pPr>
        <w:spacing w:before="40" w:after="264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当按照国库集中收缴的有关规定及时足额上缴，不得隐瞒、滞留、截</w:t>
      </w:r>
    </w:p>
    <w:p>
      <w:pPr>
        <w:tabs>
          <w:tab w:val="left" w:pos="4421"/>
          <w:tab w:val="left" w:pos="5400"/>
        </w:tabs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留、挪用和坐支。具体内容详见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第四章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非税收入管理。</w:t>
      </w:r>
    </w:p>
    <w:p>
      <w:pPr>
        <w:tabs>
          <w:tab w:val="left" w:pos="4529"/>
        </w:tabs>
        <w:spacing w:before="0" w:after="264" w:line="281" w:lineRule="exact"/>
        <w:ind w:firstLine="0" w:left="3403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4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第四章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非税收入管理</w:t>
      </w:r>
    </w:p>
    <w:p>
      <w:pPr>
        <w:tabs>
          <w:tab w:val="left" w:pos="2323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第十三条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非税收入是指除税收以外，单位依法利用国家权力、</w:t>
      </w:r>
    </w:p>
    <w:p>
      <w:pPr>
        <w:spacing w:before="0" w:after="264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政府信誉、国有资源、国有资产或提供特定公共服务所取得的各项收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入。本单位非税收入具体包括：行政事业性收费收入；政府性基金收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入；罚没收入；国有资源（资产）有偿使用收入；国有资本收益；彩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票公益金收入；特许经营收入；中央银行收入；以政府名义接受的捐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赠收入；主管部门集中收入；政府收入的利息收入；其他非税收入，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4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不包括社会保险费、住房公积金（指计入缴存人个人账户部分）。</w:t>
      </w:r>
    </w:p>
    <w:p>
      <w:pPr>
        <w:tabs>
          <w:tab w:val="left" w:pos="2326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第十四条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非税收入管理原则</w:t>
      </w:r>
    </w:p>
    <w:p>
      <w:pPr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非税收入管理遵循依法、规范、透明、高效的原则，实行“收支</w:t>
      </w:r>
    </w:p>
    <w:p>
      <w:pPr>
        <w:spacing w:before="0" w:after="261" w:line="281" w:lineRule="exact"/>
        <w:ind w:firstLine="0" w:left="0" w:right="20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24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8"/>
          <w:noProof/>
        </w:rPr>
        <w:t>两条线管理”，执收部门执收后直接缴入财政专户，不得截留、占用、</w:t>
      </w:r>
    </w:p>
    <w:p>
      <w:pPr>
        <w:spacing w:before="0" w:after="266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挪用、坐支，不得私设小金库。</w:t>
      </w:r>
    </w:p>
    <w:p>
      <w:pPr>
        <w:tabs>
          <w:tab w:val="left" w:pos="2323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第十五条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非税收入汇缴管理</w:t>
      </w:r>
    </w:p>
    <w:p>
      <w:pPr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（一）非税收入实行直接缴款和集中汇缴两种方式。</w:t>
      </w:r>
    </w:p>
    <w:p>
      <w:pPr>
        <w:spacing w:before="0" w:after="261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2"/>
          <w:noProof/>
        </w:rPr>
        <w:t>1.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2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直接缴款是指单位开具《非税收入一般缴款书》，缴纳义务人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直接缴入相应级次国库。</w:t>
      </w:r>
    </w:p>
    <w:p>
      <w:pPr>
        <w:spacing w:before="0" w:after="266" w:line="281" w:lineRule="exact"/>
        <w:ind w:firstLine="0" w:left="0" w:right="32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2"/>
          <w:noProof/>
        </w:rPr>
        <w:t>2.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2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集中汇缴是指缴纳义务人到单位缴款，由单位开具《非税收入</w:t>
      </w:r>
    </w:p>
    <w:p>
      <w:pPr>
        <w:spacing w:before="0" w:after="261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一般缴款书》后，将所收款项集中缴入相应级次国库。</w:t>
      </w:r>
    </w:p>
    <w:p>
      <w:pPr>
        <w:spacing w:before="0" w:after="264" w:line="281" w:lineRule="exact"/>
        <w:ind w:firstLine="0" w:left="0" w:right="20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24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9"/>
          <w:noProof/>
        </w:rPr>
        <w:t>（二）缴纳义务人因特殊情况需要缓缴、减缴、免缴非税收入的，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应当向单位提出书面申请，并由单位报有关部门按照规定审批。</w:t>
      </w:r>
    </w:p>
    <w:p>
      <w:pPr>
        <w:tabs>
          <w:tab w:val="left" w:pos="2323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第十六条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非税收入票据管理</w:t>
      </w:r>
    </w:p>
    <w:p>
      <w:pPr>
        <w:tabs>
          <w:tab w:val="left" w:pos="7253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6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  <w:t>非税收入票据属于财政票据的一类，具体内容详见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31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  <w:t>第五章财政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票据相关规定。</w:t>
      </w:r>
    </w:p>
    <w:p>
      <w:pPr>
        <w:spacing w:before="0" w:after="0" w:line="366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sectPr>
          <w:pgSz w:w="11900" w:h="16840"/>
          <w:pgMar w:top="1440" w:right="1440" w:bottom="1066" w:left="1440" w:header="708" w:footer="708" w:gutter="0"/>
          <w:docGrid w:type="" w:linePitch="0"/>
        </w:sectPr>
      </w:pPr>
    </w:p>
    <w:p>
      <w:pPr>
        <w:spacing w:before="0" w:after="130" w:line="180" w:lineRule="exact"/>
        <w:ind w:firstLine="0" w:left="0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</w:pPr>
      <w:r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t>3</w:t>
      </w:r>
    </w:p>
    <w:p>
      <w:pPr>
        <w:spacing w:before="0" w:after="130" w:line="180" w:lineRule="exact"/>
        <w:ind w:firstLine="0" w:left="4464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sectPr>
          <w:type w:val="continuous"/>
          <w:pgSz w:w="11900" w:h="16840"/>
          <w:pgMar w:top="1440" w:right="1440" w:bottom="1066" w:left="1440" w:header="708" w:footer="708" w:gutter="0"/>
          <w:docGrid w:type="" w:linePitch="0"/>
        </w:sectPr>
      </w:pPr>
    </w:p>
    <w:bookmarkStart w:id="4" w:name="4"/>
    <w:bookmarkEnd w:id="4"/>
    <w:p>
      <w:pPr>
        <w:spacing w:before="4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具体操作流程详见《收支管理流程》</w:t>
      </w:r>
    </w:p>
    <w:p>
      <w:pPr>
        <w:tabs>
          <w:tab w:val="left" w:pos="4529"/>
        </w:tabs>
        <w:spacing w:before="0" w:after="264" w:line="281" w:lineRule="exact"/>
        <w:ind w:firstLine="0" w:left="3403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4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第五章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财政票据管理</w:t>
      </w:r>
    </w:p>
    <w:p>
      <w:pPr>
        <w:tabs>
          <w:tab w:val="left" w:pos="2323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第十七条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财政票据是指由财政部门监（印）制、发放、管理，</w:t>
      </w:r>
    </w:p>
    <w:p>
      <w:pPr>
        <w:spacing w:before="0" w:after="264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本单位依法收取政府非税收入或者从事经营性活动收取财物时，向公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民、法人和其他组织开具的凭证。财政票据是财务收支和会计核算的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原始凭证，是财政、审计等部门进行监督检查的重要依据。</w:t>
      </w:r>
    </w:p>
    <w:p>
      <w:pPr>
        <w:tabs>
          <w:tab w:val="left" w:pos="2323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第十八条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财政票据种类及适用范围</w:t>
      </w:r>
    </w:p>
    <w:p>
      <w:pPr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37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4"/>
          <w:noProof/>
        </w:rPr>
        <w:t>（一）非税收入票据适用范围详见《政府非税收入管理办法》（财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4"/>
          <w:noProof/>
        </w:rPr>
        <w:t>税〔2016〕33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9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号）第二十一条；</w:t>
      </w:r>
    </w:p>
    <w:p>
      <w:pPr>
        <w:spacing w:before="0" w:after="264" w:line="281" w:lineRule="exact"/>
        <w:ind w:firstLine="0" w:left="0" w:right="32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（二）资金往来结算票据适用范围详见《行政事业单位资金往来</w:t>
      </w:r>
    </w:p>
    <w:p>
      <w:pPr>
        <w:spacing w:before="0" w:after="264" w:line="281" w:lineRule="exact"/>
        <w:ind w:firstLine="0" w:left="0" w:right="20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1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2"/>
          <w:noProof/>
        </w:rPr>
        <w:t>结算票据使用管理暂行办法》（财综〔2010〕1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6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2"/>
          <w:noProof/>
        </w:rPr>
        <w:t>号）第七条、第八条；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8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6"/>
          <w:noProof/>
        </w:rPr>
        <w:t>《财政部关于行政事业单位资金往来结算票据使用管理有关问题的</w:t>
      </w:r>
    </w:p>
    <w:p>
      <w:pPr>
        <w:spacing w:before="0" w:after="261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6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8"/>
          <w:noProof/>
        </w:rPr>
        <w:t>补充通知》（财综〔2010〕111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6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0"/>
          <w:noProof/>
        </w:rPr>
        <w:t>号）一、二、三、四、五；《关于进一</w:t>
      </w:r>
    </w:p>
    <w:p>
      <w:pPr>
        <w:spacing w:before="0" w:after="266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478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5"/>
          <w:noProof/>
        </w:rPr>
        <w:t>步加强行政事业单位资金往来结算票据使用管理的通知》（财综〔2013〕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2"/>
          <w:noProof/>
        </w:rPr>
        <w:t>57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9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号）一、二、三；</w:t>
      </w:r>
    </w:p>
    <w:p>
      <w:pPr>
        <w:spacing w:before="0" w:after="264" w:line="281" w:lineRule="exact"/>
        <w:ind w:firstLine="0" w:left="0" w:right="32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（三）公益事业捐赠票据适用范围详见《公益事业捐赠票据使用</w:t>
      </w:r>
    </w:p>
    <w:p>
      <w:pPr>
        <w:spacing w:before="0" w:after="261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5"/>
          <w:noProof/>
        </w:rPr>
        <w:t>管理暂行办法》（财综〔2010〕112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9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号）第七条、第八条。</w:t>
      </w:r>
    </w:p>
    <w:p>
      <w:pPr>
        <w:tabs>
          <w:tab w:val="left" w:pos="2323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第十九条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财政票据领购与发放</w:t>
      </w:r>
    </w:p>
    <w:p>
      <w:pPr>
        <w:spacing w:before="0" w:after="266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  <w:t>收支归口管理部门严格按照《四川省财政票据管理实施办法(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5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修</w:t>
      </w:r>
    </w:p>
    <w:p>
      <w:pPr>
        <w:spacing w:before="0" w:after="261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6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2"/>
          <w:noProof/>
        </w:rPr>
        <w:t>订)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3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8"/>
          <w:noProof/>
        </w:rPr>
        <w:t>》（川财规〔2021〕14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6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4"/>
          <w:noProof/>
        </w:rPr>
        <w:t>号）规定的程序办理财政票据领购与发放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手续。</w:t>
      </w:r>
    </w:p>
    <w:p>
      <w:pPr>
        <w:tabs>
          <w:tab w:val="left" w:pos="2323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第二十条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财政票据使用与管理</w:t>
      </w:r>
    </w:p>
    <w:p>
      <w:pPr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（一）财政票据使用管理。</w:t>
      </w:r>
    </w:p>
    <w:p>
      <w:pPr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本单位财政票据使用管理将指定专人，设置票据管理岗专项负责</w:t>
      </w:r>
    </w:p>
    <w:p>
      <w:pPr>
        <w:spacing w:before="0" w:after="264" w:line="281" w:lineRule="exact"/>
        <w:ind w:firstLine="0" w:left="0" w:right="20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24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8"/>
          <w:noProof/>
        </w:rPr>
        <w:t>管理财政票据，同时建立健全票据使用登记制度，设置票据管理台账，</w:t>
      </w:r>
    </w:p>
    <w:p>
      <w:pPr>
        <w:spacing w:before="0" w:after="0" w:line="366" w:lineRule="exact"/>
        <w:ind w:firstLine="0" w:left="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</w:p>
    <w:p>
      <w:pPr>
        <w:spacing w:before="0" w:after="264" w:line="281" w:lineRule="exact"/>
        <w:ind w:firstLine="0" w:left="36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240"/>
          <w:noProof/>
        </w:rPr>
        <w:sectPr>
          <w:pgSz w:w="11900" w:h="16840"/>
          <w:pgMar w:top="1440" w:right="1440" w:bottom="1066" w:left="1440" w:header="708" w:footer="708" w:gutter="0"/>
          <w:docGrid w:type="" w:linePitch="0"/>
        </w:sectPr>
      </w:pPr>
    </w:p>
    <w:p>
      <w:pPr>
        <w:spacing w:before="0" w:after="130" w:line="180" w:lineRule="exact"/>
        <w:ind w:firstLine="0" w:left="0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</w:pPr>
      <w:r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t>4</w:t>
      </w:r>
    </w:p>
    <w:p>
      <w:pPr>
        <w:spacing w:before="0" w:after="130" w:line="180" w:lineRule="exact"/>
        <w:ind w:firstLine="0" w:left="4464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sectPr>
          <w:type w:val="continuous"/>
          <w:pgSz w:w="11900" w:h="16840"/>
          <w:pgMar w:top="1440" w:right="1440" w:bottom="1066" w:left="1440" w:header="708" w:footer="708" w:gutter="0"/>
          <w:docGrid w:type="" w:linePitch="0"/>
        </w:sectPr>
      </w:pPr>
    </w:p>
    <w:bookmarkStart w:id="5" w:name="5"/>
    <w:bookmarkEnd w:id="5"/>
    <w:p>
      <w:pPr>
        <w:spacing w:before="4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并按照规定在一定期限内向财政部门报送票据使用情况。</w:t>
      </w:r>
    </w:p>
    <w:p>
      <w:pPr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（二）票据保管与核销管理</w:t>
      </w:r>
    </w:p>
    <w:p>
      <w:pPr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2"/>
          <w:noProof/>
        </w:rPr>
        <w:t>1.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2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财政票据使用完毕，票据管理岗应当按照要求填写相关资料，</w:t>
      </w:r>
    </w:p>
    <w:p>
      <w:pPr>
        <w:spacing w:before="0" w:after="264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按顺序清理财政票据存根、装订成册、妥善保管进财政票据专用仓库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4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7"/>
          <w:noProof/>
        </w:rPr>
        <w:t>或者专柜（电子储存设备），确保财政票据安全。</w:t>
      </w:r>
    </w:p>
    <w:p>
      <w:pPr>
        <w:tabs>
          <w:tab w:val="left" w:pos="1342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2"/>
          <w:noProof/>
        </w:rPr>
        <w:t>2.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23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  <w:t>本单位财政票据存根的保存期限一般为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3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8"/>
          <w:noProof/>
        </w:rPr>
        <w:t>5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  <w:t>年。保存期满需要</w:t>
      </w:r>
    </w:p>
    <w:p>
      <w:pPr>
        <w:spacing w:before="0" w:after="264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销毁的，票据管理岗报经原核发票据的财政部门查验后销毁。保存期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未满、但有特殊情况需要提前销毁的，应当报原核发票据的财政部门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批准。</w:t>
      </w:r>
    </w:p>
    <w:p>
      <w:pPr>
        <w:spacing w:before="0" w:after="264" w:line="281" w:lineRule="exact"/>
        <w:ind w:firstLine="0" w:left="0" w:right="32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2"/>
          <w:noProof/>
        </w:rPr>
        <w:t>3.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2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需进行核销的财政票据，票据管理岗要严格按照规定的程序办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理财政票据核销手续。</w:t>
      </w:r>
    </w:p>
    <w:p>
      <w:pPr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（三）财政票据灭失管理</w:t>
      </w:r>
    </w:p>
    <w:p>
      <w:pPr>
        <w:spacing w:before="0" w:after="261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若本单位财政票据或者《财政票据领购证》灭失的，票据管理岗</w:t>
      </w:r>
    </w:p>
    <w:p>
      <w:pPr>
        <w:spacing w:before="0" w:after="266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应当负主责，且及时查明原因后及时以书面形式报告原核发票据的财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政部门，并自发现之日起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5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8"/>
          <w:noProof/>
        </w:rPr>
        <w:t>3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日内登报声明作废。</w:t>
      </w:r>
    </w:p>
    <w:p>
      <w:pPr>
        <w:tabs>
          <w:tab w:val="left" w:pos="4510"/>
        </w:tabs>
        <w:spacing w:before="0" w:after="264" w:line="281" w:lineRule="exact"/>
        <w:ind w:firstLine="0" w:left="338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第六章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支出管理</w:t>
      </w:r>
    </w:p>
    <w:p>
      <w:pPr>
        <w:tabs>
          <w:tab w:val="left" w:pos="2650"/>
        </w:tabs>
        <w:spacing w:before="0" w:after="261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3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  <w:t>第二十一条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30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6"/>
          <w:noProof/>
        </w:rPr>
        <w:t>支出是指为保证本单位开展业务及其他活动发生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的资金耗费和损失。</w:t>
      </w:r>
    </w:p>
    <w:p>
      <w:pPr>
        <w:tabs>
          <w:tab w:val="left" w:pos="2604"/>
        </w:tabs>
        <w:spacing w:before="0" w:after="266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第二十二条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3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事业单位支出包括：</w:t>
      </w:r>
    </w:p>
    <w:p>
      <w:pPr>
        <w:spacing w:before="0" w:after="261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（一）事业支出，即事业单位开展专业业务活动及其辅助活动发</w:t>
      </w:r>
    </w:p>
    <w:p>
      <w:pPr>
        <w:spacing w:before="0" w:after="264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生的基本支出和项目支出。基本支出是指事业单位为了保障其正常运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转、完成日常工作任务而发生的人员支出和公用支出。项目支出是指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事业单位为了完成特定工作任务和事业发展目标，在基本支出之外所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发生的支出。</w:t>
      </w:r>
    </w:p>
    <w:p>
      <w:pPr>
        <w:spacing w:before="0" w:after="264" w:line="281" w:lineRule="exact"/>
        <w:ind w:firstLine="0" w:left="0" w:right="32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（二）经营支出，即事业单位在专业业务活动及其辅助活动之外</w:t>
      </w:r>
    </w:p>
    <w:p>
      <w:pPr>
        <w:spacing w:before="0" w:after="0" w:line="366" w:lineRule="exact"/>
        <w:ind w:firstLine="0" w:left="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</w:p>
    <w:p>
      <w:pPr>
        <w:spacing w:before="0" w:after="264" w:line="281" w:lineRule="exact"/>
        <w:ind w:firstLine="0" w:left="919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  <w:sectPr>
          <w:pgSz w:w="11900" w:h="16840"/>
          <w:pgMar w:top="1440" w:right="1440" w:bottom="1066" w:left="1440" w:header="708" w:footer="708" w:gutter="0"/>
          <w:docGrid w:type="" w:linePitch="0"/>
        </w:sectPr>
      </w:pPr>
    </w:p>
    <w:p>
      <w:pPr>
        <w:spacing w:before="0" w:after="130" w:line="180" w:lineRule="exact"/>
        <w:ind w:firstLine="0" w:left="0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</w:pPr>
      <w:r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t>5</w:t>
      </w:r>
    </w:p>
    <w:p>
      <w:pPr>
        <w:spacing w:before="0" w:after="130" w:line="180" w:lineRule="exact"/>
        <w:ind w:firstLine="0" w:left="4464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sectPr>
          <w:type w:val="continuous"/>
          <w:pgSz w:w="11900" w:h="16840"/>
          <w:pgMar w:top="1440" w:right="1440" w:bottom="1066" w:left="1440" w:header="708" w:footer="708" w:gutter="0"/>
          <w:docGrid w:type="" w:linePitch="0"/>
        </w:sectPr>
      </w:pPr>
    </w:p>
    <w:bookmarkStart w:id="6" w:name="6"/>
    <w:bookmarkEnd w:id="6"/>
    <w:p>
      <w:pPr>
        <w:spacing w:before="4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开展非独立核算经营活动发生的支出。</w:t>
      </w:r>
    </w:p>
    <w:p>
      <w:pPr>
        <w:spacing w:before="0" w:after="264" w:line="281" w:lineRule="exact"/>
        <w:ind w:firstLine="0" w:left="0" w:right="34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10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（三）对附属单位补助支出，即事业单位用财政补助收入之外的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收入对附属单位补助发生的支出。</w:t>
      </w:r>
    </w:p>
    <w:p>
      <w:pPr>
        <w:spacing w:before="0" w:after="264" w:line="281" w:lineRule="exact"/>
        <w:ind w:firstLine="0" w:left="0" w:right="34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10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（四）上缴上级支出，即事业单位按照财政部门和主管部门的规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定上缴上级单位的支出。</w:t>
      </w:r>
    </w:p>
    <w:p>
      <w:pPr>
        <w:spacing w:before="0" w:after="264" w:line="281" w:lineRule="exact"/>
        <w:ind w:firstLine="0" w:left="0" w:right="34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10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（五）其他支出，即本条上述规定范围以外的各项支出，包括利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息支出、捐赠支出等。</w:t>
      </w:r>
    </w:p>
    <w:p>
      <w:pPr>
        <w:tabs>
          <w:tab w:val="left" w:pos="2604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3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第二十三条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3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本单位各项支出均纳入单位预算，并严格执行国家、</w:t>
      </w:r>
    </w:p>
    <w:p>
      <w:pPr>
        <w:spacing w:before="0" w:after="264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省级、上级主管部门及单位内部相关管理制度，在规定的范围和标准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内开支，按照审批权限和审批流程等履行报销手续。</w:t>
      </w:r>
    </w:p>
    <w:p>
      <w:pPr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（二）经费预算申请（事项执行申请）程序</w:t>
      </w:r>
    </w:p>
    <w:p>
      <w:pPr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具体操作流程详见《收支管理流程》</w:t>
      </w:r>
    </w:p>
    <w:p>
      <w:pPr>
        <w:spacing w:before="0" w:after="261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（三）经费预算申请审批权限</w:t>
      </w:r>
    </w:p>
    <w:p>
      <w:pPr>
        <w:spacing w:before="0" w:after="266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同支付报销（借款）审批权限，详见第二十四条。</w:t>
      </w:r>
    </w:p>
    <w:p>
      <w:pPr>
        <w:tabs>
          <w:tab w:val="left" w:pos="2604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第二十四条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3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支付报销（借款）规定</w:t>
      </w:r>
    </w:p>
    <w:p>
      <w:pPr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（一）支付报销（借款）审批权限</w:t>
      </w:r>
    </w:p>
    <w:p>
      <w:pPr>
        <w:spacing w:before="0" w:after="261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5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  <w:t>（1）经费支出实行授权审批制度，所有经济业务必须由单位负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责人或其授权人签字。</w:t>
      </w:r>
    </w:p>
    <w:p>
      <w:pPr>
        <w:spacing w:before="0" w:after="266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26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"/>
          <w:noProof/>
        </w:rPr>
        <w:t>（2）审批权限的规定：</w:t>
      </w:r>
    </w:p>
    <w:p>
      <w:pPr>
        <w:spacing w:before="0" w:after="261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三重一大事项限额以下事项，由部门负责人和财务负责人分别签</w:t>
      </w:r>
    </w:p>
    <w:p>
      <w:pPr>
        <w:spacing w:before="0" w:after="264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署意见后，上报分管领导审批；需单位负责人签批的限额的，经部门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负责人、财务负责人、分管领导分别依次签署意见后，报单位负责人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审批。</w:t>
      </w:r>
    </w:p>
    <w:p>
      <w:pPr>
        <w:spacing w:before="0" w:after="264" w:line="281" w:lineRule="exact"/>
        <w:ind w:firstLine="0" w:left="0" w:right="32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同一经济业务，严禁化整为零，逃避审批级次，一经发现，财务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人员有权拒绝办理。</w:t>
      </w:r>
    </w:p>
    <w:p>
      <w:pPr>
        <w:spacing w:before="0" w:after="0" w:line="366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sectPr>
          <w:pgSz w:w="11900" w:h="16840"/>
          <w:pgMar w:top="1440" w:right="1440" w:bottom="1066" w:left="1440" w:header="708" w:footer="708" w:gutter="0"/>
          <w:docGrid w:type="" w:linePitch="0"/>
        </w:sectPr>
      </w:pPr>
    </w:p>
    <w:p>
      <w:pPr>
        <w:spacing w:before="0" w:after="130" w:line="180" w:lineRule="exact"/>
        <w:ind w:firstLine="0" w:left="0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</w:pPr>
      <w:r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t>6</w:t>
      </w:r>
    </w:p>
    <w:p>
      <w:pPr>
        <w:spacing w:before="0" w:after="130" w:line="180" w:lineRule="exact"/>
        <w:ind w:firstLine="0" w:left="4464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sectPr>
          <w:type w:val="continuous"/>
          <w:pgSz w:w="11900" w:h="16840"/>
          <w:pgMar w:top="1440" w:right="1440" w:bottom="1066" w:left="1440" w:header="708" w:footer="708" w:gutter="0"/>
          <w:docGrid w:type="" w:linePitch="0"/>
        </w:sectPr>
      </w:pPr>
    </w:p>
    <w:bookmarkStart w:id="7" w:name="7"/>
    <w:bookmarkEnd w:id="7"/>
    <w:p>
      <w:pPr>
        <w:spacing w:before="40" w:after="264" w:line="281" w:lineRule="exact"/>
        <w:ind w:firstLine="0" w:left="4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经常性项目开支如月工资等的发放由人事部门负责人审批。</w:t>
      </w:r>
    </w:p>
    <w:p>
      <w:pPr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对于重要货币资金或大额资金的支出，应当实行领导班子集体决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策和审批，并形成书面记录。</w:t>
      </w:r>
    </w:p>
    <w:p>
      <w:pPr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3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9"/>
          <w:noProof/>
        </w:rPr>
        <w:t>具体操作流程详见《收支管理流程》。</w:t>
      </w:r>
    </w:p>
    <w:p>
      <w:pPr>
        <w:tabs>
          <w:tab w:val="left" w:pos="2604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4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第二十五条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3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本单位在开展非独立核算经营活动中，应当正确归</w:t>
      </w:r>
    </w:p>
    <w:p>
      <w:pPr>
        <w:spacing w:before="0" w:after="264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集实际发生的各项费用数；不能归集的，应当按照规定的比例合理分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摊。</w:t>
      </w:r>
    </w:p>
    <w:p>
      <w:pPr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经营支出应当与经营收入配比。</w:t>
      </w:r>
    </w:p>
    <w:p>
      <w:pPr>
        <w:tabs>
          <w:tab w:val="left" w:pos="2650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2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  <w:t>第二十六条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30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6"/>
          <w:noProof/>
        </w:rPr>
        <w:t>本单位从财政部门和主管部门取得的有指定项目</w:t>
      </w:r>
    </w:p>
    <w:p>
      <w:pPr>
        <w:spacing w:before="0" w:after="264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和用途的专项资金，应当专款专用、单独核算，并按照规定向财政部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门或者主管部门报送专项资金使用情况；项目完成后，应当报送专项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资金支出决算和使用效果的书面报告，接受财政部门或者主管部门的</w:t>
      </w:r>
    </w:p>
    <w:p>
      <w:pPr>
        <w:spacing w:before="0" w:after="261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检查、验收。</w:t>
      </w:r>
    </w:p>
    <w:p>
      <w:pPr>
        <w:tabs>
          <w:tab w:val="left" w:pos="2604"/>
        </w:tabs>
        <w:spacing w:before="0" w:after="266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4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第二十七条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3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本单位应当加强经济核算，严格执行国库集中支付</w:t>
      </w:r>
    </w:p>
    <w:p>
      <w:pPr>
        <w:spacing w:before="0" w:after="264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制度和政府采购制度等有关规定；加强支出的绩效管理，提高资金使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用的有效性；根据开展业务活动及其他活动的实际需要，实行内部成</w:t>
      </w:r>
    </w:p>
    <w:p>
      <w:pPr>
        <w:spacing w:before="0" w:after="261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本核算办法。</w:t>
      </w:r>
    </w:p>
    <w:p>
      <w:pPr>
        <w:tabs>
          <w:tab w:val="left" w:pos="4368"/>
        </w:tabs>
        <w:spacing w:before="0" w:after="264" w:line="281" w:lineRule="exact"/>
        <w:ind w:firstLine="0" w:left="3245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第七章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公务卡管理</w:t>
      </w:r>
    </w:p>
    <w:p>
      <w:pPr>
        <w:tabs>
          <w:tab w:val="left" w:pos="2606"/>
        </w:tabs>
        <w:spacing w:before="0" w:after="266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6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第二十八条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3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单位职工应严格按照规定程序办理公务卡开立、变</w:t>
      </w:r>
    </w:p>
    <w:p>
      <w:pPr>
        <w:spacing w:before="0" w:after="261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更及注销手续。</w:t>
      </w:r>
    </w:p>
    <w:p>
      <w:pPr>
        <w:tabs>
          <w:tab w:val="left" w:pos="2652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2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  <w:t>第二十九条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30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6"/>
          <w:noProof/>
        </w:rPr>
        <w:t>公务卡支付结算时应严格执行公务卡强制结算目</w:t>
      </w:r>
    </w:p>
    <w:p>
      <w:pPr>
        <w:spacing w:before="0" w:after="264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录，凡目录规定的公务支出项目，应按规定使用公务卡结算，原则上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不再使用现金结算。</w:t>
      </w:r>
    </w:p>
    <w:p>
      <w:pPr>
        <w:tabs>
          <w:tab w:val="left" w:pos="2323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3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第三十条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持卡人办理公务卡消费支出报销业务时，应按照单位</w:t>
      </w:r>
    </w:p>
    <w:p>
      <w:pPr>
        <w:spacing w:before="0" w:after="264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财务报销要求及时办理报销手续，收支归口管理部门应及时处理公务</w:t>
      </w:r>
    </w:p>
    <w:p>
      <w:pPr>
        <w:spacing w:before="0" w:after="0" w:line="366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</w:p>
    <w:p>
      <w:pPr>
        <w:spacing w:before="0" w:after="264" w:line="281" w:lineRule="exact"/>
        <w:ind w:firstLine="0" w:left="36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2"/>
          <w:noProof/>
        </w:rPr>
        <w:sectPr>
          <w:pgSz w:w="11900" w:h="16840"/>
          <w:pgMar w:top="1440" w:right="1440" w:bottom="1066" w:left="1440" w:header="708" w:footer="708" w:gutter="0"/>
          <w:docGrid w:type="" w:linePitch="0"/>
        </w:sectPr>
      </w:pPr>
    </w:p>
    <w:p>
      <w:pPr>
        <w:spacing w:before="0" w:after="130" w:line="180" w:lineRule="exact"/>
        <w:ind w:firstLine="0" w:left="0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</w:pPr>
      <w:r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t>7</w:t>
      </w:r>
    </w:p>
    <w:p>
      <w:pPr>
        <w:spacing w:before="0" w:after="130" w:line="180" w:lineRule="exact"/>
        <w:ind w:firstLine="0" w:left="4464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sectPr>
          <w:type w:val="continuous"/>
          <w:pgSz w:w="11900" w:h="16840"/>
          <w:pgMar w:top="1440" w:right="1440" w:bottom="1066" w:left="1440" w:header="708" w:footer="708" w:gutter="0"/>
          <w:docGrid w:type="" w:linePitch="0"/>
        </w:sectPr>
      </w:pPr>
    </w:p>
    <w:bookmarkStart w:id="8" w:name="8"/>
    <w:bookmarkEnd w:id="8"/>
    <w:p>
      <w:pPr>
        <w:spacing w:before="40" w:after="264" w:line="281" w:lineRule="exact"/>
        <w:ind w:firstLine="0" w:left="0" w:right="20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52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7"/>
          <w:noProof/>
        </w:rPr>
        <w:t>卡报销业务，登陆公务卡支付系统，根据持卡人提供的姓名（或卡号）、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交易日期和消费金额等信息，查询核对公务消费的真实性，确定可报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销金额。</w:t>
      </w:r>
    </w:p>
    <w:p>
      <w:pPr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具体操作流程详见《收支管理流程》</w:t>
      </w:r>
    </w:p>
    <w:p>
      <w:pPr>
        <w:tabs>
          <w:tab w:val="left" w:pos="3526"/>
        </w:tabs>
        <w:spacing w:before="0" w:after="264" w:line="281" w:lineRule="exact"/>
        <w:ind w:firstLine="0" w:left="240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第八章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资金管理与财务印章管理</w:t>
      </w:r>
    </w:p>
    <w:p>
      <w:pPr>
        <w:tabs>
          <w:tab w:val="left" w:pos="2604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6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第三十一条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资金管理是财务管理工作的重要内容之一。资金管</w:t>
      </w:r>
    </w:p>
    <w:p>
      <w:pPr>
        <w:spacing w:before="0" w:after="264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理主要包括：银行存款、现金、结算资金、周转金、专用基金和有价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证券管理。</w:t>
      </w:r>
    </w:p>
    <w:p>
      <w:pPr>
        <w:tabs>
          <w:tab w:val="left" w:pos="2604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第三十二条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银行账户与存款管理</w:t>
      </w:r>
    </w:p>
    <w:p>
      <w:pPr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（一）银行账户</w:t>
      </w:r>
    </w:p>
    <w:p>
      <w:pPr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银行账户开立（开立条件、申请材料、开立程序等）、变更、撤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销、动态监控管理应严格按照要求执行。</w:t>
      </w:r>
    </w:p>
    <w:p>
      <w:pPr>
        <w:spacing w:before="0" w:after="261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（二）银行存款</w:t>
      </w:r>
    </w:p>
    <w:p>
      <w:pPr>
        <w:spacing w:before="0" w:after="266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银行存款的收支，要及时登记、日清月结；定期根据银行对账单</w:t>
      </w:r>
    </w:p>
    <w:p>
      <w:pPr>
        <w:spacing w:before="0" w:after="264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与银行对账；如产生未达账项，应及时主动与开户银行进行核对和调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整，保证双方账户余额绝对一致。</w:t>
      </w:r>
    </w:p>
    <w:p>
      <w:pPr>
        <w:tabs>
          <w:tab w:val="left" w:pos="2604"/>
        </w:tabs>
        <w:spacing w:before="0" w:after="261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第三十三条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现金管理</w:t>
      </w:r>
    </w:p>
    <w:p>
      <w:pPr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（一）现金支付范围原则上只限于支付职工个人款项、不够支票</w:t>
      </w:r>
    </w:p>
    <w:p>
      <w:pPr>
        <w:spacing w:before="0" w:after="266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结算起点的零星开支和报销差旅费用等。其它应使用转账支票，不予</w:t>
      </w:r>
    </w:p>
    <w:p>
      <w:pPr>
        <w:spacing w:before="0" w:after="261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支付现金。</w:t>
      </w:r>
    </w:p>
    <w:p>
      <w:pPr>
        <w:spacing w:before="0" w:after="264" w:line="281" w:lineRule="exact"/>
        <w:ind w:firstLine="0" w:left="0" w:right="32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（二）现金收支由出纳员办理，坚持账款分离原则。遵守银行规</w:t>
      </w:r>
    </w:p>
    <w:p>
      <w:pPr>
        <w:spacing w:before="0" w:after="264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定的库存现金限额，超出部分应及时送存银行。提取或送存现金超过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一定金额必须派专车或二人同行，以保证资金安全。</w:t>
      </w:r>
    </w:p>
    <w:p>
      <w:pPr>
        <w:spacing w:before="0" w:after="264" w:line="281" w:lineRule="exact"/>
        <w:ind w:firstLine="0" w:left="0" w:right="34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10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（三）不准以白条或借据充抵现金，不准利用单位银行账户代其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它单位或个人存取现金。任何部门及个人不得私借公款。</w:t>
      </w:r>
    </w:p>
    <w:p>
      <w:pPr>
        <w:spacing w:before="0" w:after="0" w:line="366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520"/>
          <w:noProof/>
        </w:rPr>
      </w:pP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sectPr>
          <w:pgSz w:w="11900" w:h="16840"/>
          <w:pgMar w:top="1440" w:right="1440" w:bottom="1066" w:left="1440" w:header="708" w:footer="708" w:gutter="0"/>
          <w:docGrid w:type="" w:linePitch="0"/>
        </w:sectPr>
      </w:pPr>
    </w:p>
    <w:p>
      <w:pPr>
        <w:spacing w:before="0" w:after="130" w:line="180" w:lineRule="exact"/>
        <w:ind w:firstLine="0" w:left="0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</w:pPr>
      <w:r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t>8</w:t>
      </w:r>
    </w:p>
    <w:p>
      <w:pPr>
        <w:spacing w:before="0" w:after="130" w:line="180" w:lineRule="exact"/>
        <w:ind w:firstLine="0" w:left="4464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sectPr>
          <w:type w:val="continuous"/>
          <w:pgSz w:w="11900" w:h="16840"/>
          <w:pgMar w:top="1440" w:right="1440" w:bottom="1066" w:left="1440" w:header="708" w:footer="708" w:gutter="0"/>
          <w:docGrid w:type="" w:linePitch="0"/>
        </w:sectPr>
      </w:pPr>
    </w:p>
    <w:bookmarkStart w:id="9" w:name="9"/>
    <w:bookmarkEnd w:id="9"/>
    <w:p>
      <w:pPr>
        <w:spacing w:before="40" w:after="264" w:line="281" w:lineRule="exact"/>
        <w:ind w:firstLine="0" w:left="0" w:right="34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10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（四）因工作需要借支现金，须提前一天通知财务并在约定时间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内领取。</w:t>
      </w:r>
    </w:p>
    <w:p>
      <w:pPr>
        <w:spacing w:before="0" w:after="264" w:line="281" w:lineRule="exact"/>
        <w:ind w:firstLine="0" w:left="0" w:right="34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10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（五）取得的现金收入应当及时存入银行，不能直接用于支付单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位自身的支出，即不能“坐支”现金。</w:t>
      </w:r>
    </w:p>
    <w:p>
      <w:pPr>
        <w:spacing w:before="0" w:after="264" w:line="281" w:lineRule="exact"/>
        <w:ind w:firstLine="0" w:left="0" w:right="32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（六）库存现金做到日清月结，出纳在每个工作日结束时应清点</w:t>
      </w:r>
    </w:p>
    <w:p>
      <w:pPr>
        <w:spacing w:before="0" w:after="264" w:line="281" w:lineRule="exact"/>
        <w:ind w:firstLine="0" w:left="4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现金、核对账目，保证账实相符。月底进行现金日记账和总账核对，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保证账实相符。如发现不符，应及时查明原因并报告财务主管，盘盈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现金在报请单位负责人批准后计入其他收入，盘亏现金一律由责任人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赔偿。</w:t>
      </w:r>
    </w:p>
    <w:p>
      <w:pPr>
        <w:tabs>
          <w:tab w:val="left" w:pos="2604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第三十四条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财务印章</w:t>
      </w:r>
    </w:p>
    <w:p>
      <w:pPr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财务印章的保管贯彻不相容岗位相分离原则，严禁办理资金支付</w:t>
      </w:r>
    </w:p>
    <w:p>
      <w:pPr>
        <w:spacing w:before="0" w:after="264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业务的相关印章和票据集中一人保管，印章与空白支票分开保管，财</w:t>
      </w:r>
    </w:p>
    <w:p>
      <w:pPr>
        <w:spacing w:before="0" w:after="261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务专用章与法人代表名章分开保管。</w:t>
      </w:r>
    </w:p>
    <w:p>
      <w:pPr>
        <w:spacing w:before="0" w:after="266" w:line="281" w:lineRule="exact"/>
        <w:ind w:firstLine="0" w:left="0" w:right="30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0"/>
          <w:noProof/>
        </w:rPr>
        <w:t>财务印章应依据《会计基础工作规范》（2019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9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年修正）的要求，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严格按照规定的业务内容和批准程序使用。</w:t>
      </w:r>
    </w:p>
    <w:p>
      <w:pPr>
        <w:tabs>
          <w:tab w:val="left" w:pos="4229"/>
        </w:tabs>
        <w:spacing w:before="0" w:after="264" w:line="281" w:lineRule="exact"/>
        <w:ind w:firstLine="0" w:left="3103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4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第九章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会计核算管理</w:t>
      </w:r>
    </w:p>
    <w:p>
      <w:pPr>
        <w:tabs>
          <w:tab w:val="left" w:pos="2604"/>
        </w:tabs>
        <w:spacing w:before="0" w:after="261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第三十五条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政府会计由预算会计和财务会计构成。</w:t>
      </w:r>
    </w:p>
    <w:p>
      <w:pPr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预算会计实行收付实现制，国务院另有规定的，依照其规定。</w:t>
      </w:r>
    </w:p>
    <w:p>
      <w:pPr>
        <w:spacing w:before="0" w:after="266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财务会计实行权责发生制。</w:t>
      </w:r>
    </w:p>
    <w:p>
      <w:pPr>
        <w:tabs>
          <w:tab w:val="left" w:pos="2604"/>
        </w:tabs>
        <w:spacing w:before="0" w:after="261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4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第三十六条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7"/>
          <w:noProof/>
        </w:rPr>
        <w:t>政府会计核算应严格按照《政府会计制度——行政</w:t>
      </w:r>
    </w:p>
    <w:p>
      <w:pPr>
        <w:spacing w:before="0" w:after="264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288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3"/>
          <w:noProof/>
        </w:rPr>
        <w:t>事业单位会计科目和报表》（财会〔2017〕25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9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27"/>
          <w:noProof/>
        </w:rPr>
        <w:t>号）、《政府会计准则—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65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7"/>
          <w:noProof/>
        </w:rPr>
        <w:t>—基本准则》（财政部令第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3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3"/>
          <w:noProof/>
        </w:rPr>
        <w:t>78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9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号）及其具体准则（含政府会计准则第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9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7"/>
          <w:noProof/>
        </w:rPr>
        <w:t>１号——存货、政府会计准则第２号——投资、政府会计准则第３号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1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——固定资产、政府会计准则第４号——无形资产、&lt;政府会计准则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7"/>
          <w:noProof/>
        </w:rPr>
        <w:t>第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20"/>
          <w:noProof/>
        </w:rPr>
        <w:t>3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9"/>
          <w:noProof/>
        </w:rPr>
        <w:t>号——固定资产&gt;应用指南等）、《政府会计准则制度解释第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3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20"/>
          <w:noProof/>
        </w:rPr>
        <w:t>1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号》</w:t>
      </w:r>
    </w:p>
    <w:p>
      <w:pPr>
        <w:spacing w:before="0" w:after="0" w:line="366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1"/>
          <w:noProof/>
        </w:rPr>
      </w:pP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  <w:sectPr>
          <w:pgSz w:w="11900" w:h="16840"/>
          <w:pgMar w:top="1440" w:right="1440" w:bottom="1066" w:left="1440" w:header="708" w:footer="708" w:gutter="0"/>
          <w:docGrid w:type="" w:linePitch="0"/>
        </w:sectPr>
      </w:pPr>
    </w:p>
    <w:p>
      <w:pPr>
        <w:spacing w:before="0" w:after="130" w:line="180" w:lineRule="exact"/>
        <w:ind w:firstLine="0" w:left="0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</w:pPr>
      <w:r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t>9</w:t>
      </w:r>
    </w:p>
    <w:p>
      <w:pPr>
        <w:spacing w:before="0" w:after="130" w:line="180" w:lineRule="exact"/>
        <w:ind w:firstLine="0" w:left="4464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sectPr>
          <w:type w:val="continuous"/>
          <w:pgSz w:w="11900" w:h="16840"/>
          <w:pgMar w:top="1440" w:right="1440" w:bottom="1066" w:left="1440" w:header="708" w:footer="708" w:gutter="0"/>
          <w:docGrid w:type="" w:linePitch="0"/>
        </w:sectPr>
      </w:pPr>
    </w:p>
    <w:bookmarkStart w:id="10" w:name="10"/>
    <w:bookmarkEnd w:id="10"/>
    <w:p>
      <w:pPr>
        <w:spacing w:before="4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2"/>
          <w:noProof/>
        </w:rPr>
        <w:t>（财会〔2019〕13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9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号）的要求执行。</w:t>
      </w:r>
    </w:p>
    <w:p>
      <w:pPr>
        <w:tabs>
          <w:tab w:val="left" w:pos="3526"/>
        </w:tabs>
        <w:spacing w:before="0" w:after="264" w:line="281" w:lineRule="exact"/>
        <w:ind w:firstLine="0" w:left="240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第十章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财务报告和财务分析管理</w:t>
      </w:r>
    </w:p>
    <w:p>
      <w:pPr>
        <w:tabs>
          <w:tab w:val="left" w:pos="2650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3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  <w:t>第三十七条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30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6"/>
          <w:noProof/>
        </w:rPr>
        <w:t>财务报告是反映本单位一定时期财务状况和事业</w:t>
      </w:r>
    </w:p>
    <w:p>
      <w:pPr>
        <w:spacing w:before="0" w:after="264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成果的总结性书面文件。财务报告主要有政府决算报告和政府财务报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告等。</w:t>
      </w:r>
    </w:p>
    <w:p>
      <w:pPr>
        <w:tabs>
          <w:tab w:val="left" w:pos="2650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2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  <w:t>第三十八条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30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6"/>
          <w:noProof/>
        </w:rPr>
        <w:t>政府决算报告是综合反映事业单位年度预算收支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执行结果的文件。</w:t>
      </w:r>
    </w:p>
    <w:p>
      <w:pPr>
        <w:spacing w:before="0" w:after="264" w:line="281" w:lineRule="exact"/>
        <w:ind w:firstLine="0" w:left="0" w:right="34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17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7"/>
          <w:noProof/>
        </w:rPr>
        <w:t>政府决算报告应当包括决算报表和其他应当在决算报告中反映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的相关信息和资料。</w:t>
      </w:r>
    </w:p>
    <w:p>
      <w:pPr>
        <w:spacing w:before="0" w:after="264" w:line="281" w:lineRule="exact"/>
        <w:ind w:firstLine="0" w:left="0" w:right="32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部门决算报表体系由四部分组成，具体包括：基础数据表、填报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说明、分析表和分析报告。</w:t>
      </w:r>
    </w:p>
    <w:p>
      <w:pPr>
        <w:spacing w:before="0" w:after="264" w:line="281" w:lineRule="exact"/>
        <w:ind w:firstLine="0" w:left="0" w:right="32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政府决算报告的具体内容及编制要求等，详见《部门决算管理制</w:t>
      </w:r>
    </w:p>
    <w:p>
      <w:pPr>
        <w:spacing w:before="0" w:after="261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4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21"/>
          <w:noProof/>
        </w:rPr>
        <w:t>度》（财库〔2013〕209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9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7"/>
          <w:noProof/>
        </w:rPr>
        <w:t>号）。</w:t>
      </w:r>
    </w:p>
    <w:p>
      <w:pPr>
        <w:tabs>
          <w:tab w:val="left" w:pos="2604"/>
        </w:tabs>
        <w:spacing w:before="0" w:after="266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4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第三十九条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政府决算报告的编制主要以收付实现制为基础，以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预算会计核算生成的数据为准。</w:t>
      </w:r>
    </w:p>
    <w:p>
      <w:pPr>
        <w:spacing w:before="0" w:after="264" w:line="281" w:lineRule="exact"/>
        <w:ind w:firstLine="0" w:left="0" w:right="32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政府财务报告的编制主要以权责发生制为基础，以财务会计核算</w:t>
      </w:r>
    </w:p>
    <w:p>
      <w:pPr>
        <w:spacing w:before="0" w:after="261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生成的数据为准。</w:t>
      </w:r>
    </w:p>
    <w:p>
      <w:pPr>
        <w:tabs>
          <w:tab w:val="left" w:pos="4368"/>
        </w:tabs>
        <w:spacing w:before="0" w:after="264" w:line="281" w:lineRule="exact"/>
        <w:ind w:firstLine="0" w:left="296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第十一章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会计档案管理</w:t>
      </w:r>
    </w:p>
    <w:p>
      <w:pPr>
        <w:tabs>
          <w:tab w:val="left" w:pos="2364"/>
        </w:tabs>
        <w:spacing w:before="0" w:after="266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37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  <w:t>第四十条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4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6"/>
          <w:noProof/>
        </w:rPr>
        <w:t>本制度所称会计档案是指本单位在进行会计核算等</w:t>
      </w:r>
    </w:p>
    <w:p>
      <w:pPr>
        <w:spacing w:before="0" w:after="261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25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6"/>
          <w:noProof/>
        </w:rPr>
        <w:t>过程中接收或形成的,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6"/>
          <w:noProof/>
        </w:rPr>
        <w:t>记录和反映单位经济业务事项的,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2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5"/>
          <w:noProof/>
        </w:rPr>
        <w:t>具有保存价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6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  <w:t>值的文字、图表等各种形式的会计资料,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9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  <w:t>包括通过计算机等电子设备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形成、传输和存储的电子会计档案。</w:t>
      </w:r>
    </w:p>
    <w:p>
      <w:pPr>
        <w:tabs>
          <w:tab w:val="left" w:pos="2604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5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第四十一条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收支归口管理部门会计需根据《会计档案管理办法》</w:t>
      </w:r>
    </w:p>
    <w:p>
      <w:pPr>
        <w:tabs>
          <w:tab w:val="left" w:pos="1620"/>
        </w:tabs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（财政部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国家档案局令第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3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2"/>
          <w:noProof/>
        </w:rPr>
        <w:t>79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9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6"/>
          <w:noProof/>
        </w:rPr>
        <w:t>号）要求的归档范围和归档要求，定期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将应归档的会计资料整理立卷，编制会计档案保管清册。当年形成的</w:t>
      </w:r>
    </w:p>
    <w:p>
      <w:pPr>
        <w:spacing w:before="0" w:after="0" w:line="366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  <w:sectPr>
          <w:pgSz w:w="11900" w:h="16840"/>
          <w:pgMar w:top="1440" w:right="1440" w:bottom="1066" w:left="1440" w:header="708" w:footer="708" w:gutter="0"/>
          <w:docGrid w:type="" w:linePitch="0"/>
        </w:sectPr>
      </w:pPr>
    </w:p>
    <w:p>
      <w:pPr>
        <w:spacing w:before="0" w:after="130" w:line="180" w:lineRule="exact"/>
        <w:ind w:firstLine="0" w:left="0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spacing w:val="-15"/>
          <w:noProof/>
        </w:rPr>
      </w:pPr>
      <w:r>
        <w:rPr>
          <w:rFonts w:ascii="Microsoft YaHei" w:hAnsi="Microsoft YaHei" w:cs="Microsoft YaHei" w:eastAsia="Microsoft YaHei"/>
          <w:sz w:val="18"/>
          <w:szCs w:val="18"/>
          <w:color w:val="000000"/>
          <w:spacing w:val="-8"/>
          <w:noProof/>
        </w:rPr>
        <w:t>10</w:t>
      </w:r>
    </w:p>
    <w:sectPr>
      <w:type w:val="continuous"/>
      <w:pgSz w:w="11900" w:h="16840"/>
      <w:pgMar w:top="1440" w:right="1440" w:bottom="1066" w:left="1440" w:header="708" w:footer="708" w:gutter="0"/>
      <w:docGrid w:type="" w:linePitch="0"/>
    </w:sectPr>
    <w:docPr>
      <w:view w:val="page"/>
      <w:zoom w:percent="120"/>
    </w:doc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itch w:val="variable"/>
    <w:altName w:val="Times New Roman"/>
    <w:charset w:val="0"/>
    <w:family w:val="roman"/>
  </w:font>
  <w:font w:name="Arial">
    <w:pitch w:val="variable"/>
    <w:altName w:val="Arial"/>
    <w:charset w:val="0"/>
    <w:family w:val="swiss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>
      <w:useFELayout/>
    </w:ulTrailSpace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 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fontTable" Target="fontTable.xml"/>
	<Relationship Id="rId3" Type="http://schemas.openxmlformats.org/officeDocument/2006/relationships/theme" Target="theme/theme1.xml"/>
	<Relationship Id="rId4" Type="http://schemas.openxmlformats.org/officeDocument/2006/relationships/settings" Target="settings.xml"/>
	<Relationship Id="rId5" Type="http://schemas.openxmlformats.org/officeDocument/2006/relationships/webSettings" Target="webSettings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Application>Microsoft Office Word</Application>
  <DocSecurity>0</DocSecurity>
  <ScaleCrop>false</ScaleCrop>
  <Company/>
  <LinksUpToDate>false</LinksUpToDate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